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553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100 吨线圈压床招标技术文件</w:t>
      </w:r>
    </w:p>
    <w:p w14:paraId="3FE12A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Style w:val="7"/>
          <w:rFonts w:ascii="宋体" w:hAnsi="宋体" w:eastAsia="宋体" w:cs="宋体"/>
          <w:b/>
          <w:bCs/>
          <w:color w:val="000000"/>
          <w:kern w:val="0"/>
          <w:sz w:val="24"/>
          <w:szCs w:val="24"/>
          <w:lang w:val="en-US" w:eastAsia="zh-CN" w:bidi="ar"/>
        </w:rPr>
        <w:t>出品单位</w:t>
      </w:r>
      <w:r>
        <w:rPr>
          <w:rFonts w:ascii="宋体" w:hAnsi="宋体" w:eastAsia="宋体" w:cs="宋体"/>
          <w:color w:val="000000"/>
          <w:kern w:val="0"/>
          <w:sz w:val="24"/>
          <w:szCs w:val="24"/>
          <w:lang w:val="en-US" w:eastAsia="zh-CN" w:bidi="ar"/>
        </w:rPr>
        <w:t>：中电变压器股份有限公司</w:t>
      </w:r>
    </w:p>
    <w:p w14:paraId="0F1314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bookmarkStart w:id="0" w:name="_GoBack"/>
      <w:bookmarkEnd w:id="0"/>
      <w:r>
        <w:rPr>
          <w:rStyle w:val="7"/>
          <w:rFonts w:ascii="宋体" w:hAnsi="宋体" w:eastAsia="宋体" w:cs="宋体"/>
          <w:b/>
          <w:bCs/>
          <w:color w:val="000000"/>
          <w:kern w:val="0"/>
          <w:sz w:val="24"/>
          <w:szCs w:val="24"/>
          <w:lang w:val="en-US" w:eastAsia="zh-CN" w:bidi="ar"/>
        </w:rPr>
        <w:t>适用项目</w:t>
      </w:r>
      <w:r>
        <w:rPr>
          <w:rFonts w:ascii="宋体" w:hAnsi="宋体" w:eastAsia="宋体" w:cs="宋体"/>
          <w:color w:val="000000"/>
          <w:kern w:val="0"/>
          <w:sz w:val="24"/>
          <w:szCs w:val="24"/>
          <w:lang w:val="en-US" w:eastAsia="zh-CN" w:bidi="ar"/>
        </w:rPr>
        <w:t>：句容工厂油变扩建项目</w:t>
      </w:r>
    </w:p>
    <w:p w14:paraId="4DD69B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Style w:val="7"/>
          <w:rFonts w:ascii="宋体" w:hAnsi="宋体" w:eastAsia="宋体" w:cs="宋体"/>
          <w:b/>
          <w:bCs/>
          <w:color w:val="000000"/>
          <w:kern w:val="0"/>
          <w:sz w:val="24"/>
          <w:szCs w:val="24"/>
          <w:lang w:val="en-US" w:eastAsia="zh-CN" w:bidi="ar"/>
        </w:rPr>
        <w:t>编制日期</w:t>
      </w:r>
      <w:r>
        <w:rPr>
          <w:rFonts w:ascii="宋体" w:hAnsi="宋体" w:eastAsia="宋体" w:cs="宋体"/>
          <w:color w:val="000000"/>
          <w:kern w:val="0"/>
          <w:sz w:val="24"/>
          <w:szCs w:val="24"/>
          <w:lang w:val="en-US" w:eastAsia="zh-CN" w:bidi="ar"/>
        </w:rPr>
        <w:t>：2026 年 3 月</w:t>
      </w:r>
    </w:p>
    <w:p w14:paraId="2AC67B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一、基本要求</w:t>
      </w:r>
    </w:p>
    <w:p w14:paraId="6BB63C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（一）设备用途</w:t>
      </w:r>
    </w:p>
    <w:p w14:paraId="7477D6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用于变压器线圈的轴向压紧作业</w:t>
      </w:r>
    </w:p>
    <w:p w14:paraId="780A74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（二）采购数量</w:t>
      </w:r>
    </w:p>
    <w:p w14:paraId="35F5B2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1 台</w:t>
      </w:r>
    </w:p>
    <w:p w14:paraId="566071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（三）核心技术参数</w:t>
      </w:r>
    </w:p>
    <w:p w14:paraId="2EB2AB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表格</w:t>
      </w:r>
    </w:p>
    <w:tbl>
      <w:tblPr>
        <w:tblStyle w:val="5"/>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925"/>
        <w:gridCol w:w="1965"/>
      </w:tblGrid>
      <w:tr w14:paraId="67DCF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tblCellSpacing w:w="15" w:type="dxa"/>
        </w:trPr>
        <w:tc>
          <w:tcPr>
            <w:tcW w:w="0" w:type="auto"/>
            <w:shd w:val="clear" w:color="auto" w:fill="auto"/>
            <w:vAlign w:val="center"/>
          </w:tcPr>
          <w:p w14:paraId="21B160A0">
            <w:pPr>
              <w:keepNext w:val="0"/>
              <w:keepLines w:val="0"/>
              <w:widowControl/>
              <w:suppressLineNumbers w:val="0"/>
              <w:spacing w:before="0" w:beforeAutospacing="0" w:after="0" w:afterAutospacing="0" w:line="360" w:lineRule="atLeast"/>
              <w:ind w:left="0" w:right="0"/>
              <w:jc w:val="left"/>
              <w:rPr>
                <w:b/>
                <w:bCs/>
                <w:color w:val="000000"/>
                <w:sz w:val="24"/>
                <w:szCs w:val="24"/>
              </w:rPr>
            </w:pPr>
            <w:r>
              <w:rPr>
                <w:rFonts w:ascii="宋体" w:hAnsi="宋体" w:eastAsia="宋体" w:cs="宋体"/>
                <w:b/>
                <w:bCs/>
                <w:color w:val="000000"/>
                <w:kern w:val="0"/>
                <w:sz w:val="24"/>
                <w:szCs w:val="24"/>
                <w:lang w:val="en-US" w:eastAsia="zh-CN" w:bidi="ar"/>
              </w:rPr>
              <w:t>参数名称</w:t>
            </w:r>
          </w:p>
        </w:tc>
        <w:tc>
          <w:tcPr>
            <w:tcW w:w="0" w:type="auto"/>
            <w:shd w:val="clear" w:color="auto" w:fill="auto"/>
            <w:vAlign w:val="center"/>
          </w:tcPr>
          <w:p w14:paraId="568B1D1D">
            <w:pPr>
              <w:keepNext w:val="0"/>
              <w:keepLines w:val="0"/>
              <w:widowControl/>
              <w:suppressLineNumbers w:val="0"/>
              <w:spacing w:before="0" w:beforeAutospacing="0" w:after="0" w:afterAutospacing="0" w:line="360" w:lineRule="atLeast"/>
              <w:ind w:left="0" w:right="0"/>
              <w:jc w:val="left"/>
              <w:rPr>
                <w:b/>
                <w:bCs/>
                <w:color w:val="000000"/>
                <w:sz w:val="24"/>
                <w:szCs w:val="24"/>
              </w:rPr>
            </w:pPr>
            <w:r>
              <w:rPr>
                <w:rFonts w:ascii="宋体" w:hAnsi="宋体" w:eastAsia="宋体" w:cs="宋体"/>
                <w:b/>
                <w:bCs/>
                <w:color w:val="000000"/>
                <w:kern w:val="0"/>
                <w:sz w:val="24"/>
                <w:szCs w:val="24"/>
                <w:lang w:val="en-US" w:eastAsia="zh-CN" w:bidi="ar"/>
              </w:rPr>
              <w:t>技术要求</w:t>
            </w:r>
          </w:p>
        </w:tc>
      </w:tr>
      <w:tr w14:paraId="22280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auto"/>
            <w:vAlign w:val="center"/>
          </w:tcPr>
          <w:p w14:paraId="3A494417">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公称压力</w:t>
            </w:r>
          </w:p>
        </w:tc>
        <w:tc>
          <w:tcPr>
            <w:tcW w:w="0" w:type="auto"/>
            <w:shd w:val="clear" w:color="auto" w:fill="auto"/>
            <w:vAlign w:val="center"/>
          </w:tcPr>
          <w:p w14:paraId="59297E4D">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1000KN</w:t>
            </w:r>
          </w:p>
        </w:tc>
      </w:tr>
      <w:tr w14:paraId="26C01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704BCA84">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压力控制范围</w:t>
            </w:r>
          </w:p>
        </w:tc>
        <w:tc>
          <w:tcPr>
            <w:tcW w:w="0" w:type="auto"/>
            <w:shd w:val="clear" w:color="auto" w:fill="auto"/>
            <w:vAlign w:val="center"/>
          </w:tcPr>
          <w:p w14:paraId="6A772773">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60-1000KN</w:t>
            </w:r>
          </w:p>
        </w:tc>
      </w:tr>
      <w:tr w14:paraId="63B6A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auto"/>
            <w:vAlign w:val="center"/>
          </w:tcPr>
          <w:p w14:paraId="5C5D56F0">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工作台尺寸</w:t>
            </w:r>
          </w:p>
        </w:tc>
        <w:tc>
          <w:tcPr>
            <w:tcW w:w="0" w:type="auto"/>
            <w:shd w:val="clear" w:color="auto" w:fill="auto"/>
            <w:vAlign w:val="center"/>
          </w:tcPr>
          <w:p w14:paraId="1888FC0B">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1500mm×1500mm</w:t>
            </w:r>
          </w:p>
        </w:tc>
      </w:tr>
      <w:tr w14:paraId="0B90D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auto"/>
            <w:vAlign w:val="center"/>
          </w:tcPr>
          <w:p w14:paraId="44284B9D">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施压总行程</w:t>
            </w:r>
          </w:p>
        </w:tc>
        <w:tc>
          <w:tcPr>
            <w:tcW w:w="0" w:type="auto"/>
            <w:shd w:val="clear" w:color="auto" w:fill="auto"/>
            <w:vAlign w:val="center"/>
          </w:tcPr>
          <w:p w14:paraId="76CE373C">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1000mm</w:t>
            </w:r>
          </w:p>
        </w:tc>
      </w:tr>
      <w:tr w14:paraId="550E9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5ACC2B47">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线圈压紧高度范围</w:t>
            </w:r>
          </w:p>
        </w:tc>
        <w:tc>
          <w:tcPr>
            <w:tcW w:w="0" w:type="auto"/>
            <w:shd w:val="clear" w:color="auto" w:fill="auto"/>
            <w:vAlign w:val="center"/>
          </w:tcPr>
          <w:p w14:paraId="6ED2E3C0">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850-1800mm</w:t>
            </w:r>
          </w:p>
        </w:tc>
      </w:tr>
      <w:tr w14:paraId="54074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auto"/>
            <w:vAlign w:val="center"/>
          </w:tcPr>
          <w:p w14:paraId="093D2EF8">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小车台面距上压盘静止间距</w:t>
            </w:r>
          </w:p>
        </w:tc>
        <w:tc>
          <w:tcPr>
            <w:tcW w:w="0" w:type="auto"/>
            <w:shd w:val="clear" w:color="auto" w:fill="auto"/>
            <w:vAlign w:val="center"/>
          </w:tcPr>
          <w:p w14:paraId="0FD08518">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2000mm</w:t>
            </w:r>
          </w:p>
        </w:tc>
      </w:tr>
      <w:tr w14:paraId="69560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0A8140C3">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液压系统散热方式</w:t>
            </w:r>
          </w:p>
        </w:tc>
        <w:tc>
          <w:tcPr>
            <w:tcW w:w="0" w:type="auto"/>
            <w:shd w:val="clear" w:color="auto" w:fill="auto"/>
            <w:vAlign w:val="center"/>
          </w:tcPr>
          <w:p w14:paraId="00805CF7">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风冷</w:t>
            </w:r>
          </w:p>
        </w:tc>
      </w:tr>
      <w:tr w14:paraId="5721F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2D08D512">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小车载重</w:t>
            </w:r>
          </w:p>
        </w:tc>
        <w:tc>
          <w:tcPr>
            <w:tcW w:w="0" w:type="auto"/>
            <w:shd w:val="clear" w:color="auto" w:fill="auto"/>
            <w:vAlign w:val="center"/>
          </w:tcPr>
          <w:p w14:paraId="13ED8B0D">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5t</w:t>
            </w:r>
          </w:p>
        </w:tc>
      </w:tr>
      <w:tr w14:paraId="6B9AA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163F9099">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小车驱动方式</w:t>
            </w:r>
          </w:p>
        </w:tc>
        <w:tc>
          <w:tcPr>
            <w:tcW w:w="0" w:type="auto"/>
            <w:shd w:val="clear" w:color="auto" w:fill="auto"/>
            <w:vAlign w:val="center"/>
          </w:tcPr>
          <w:p w14:paraId="591CFC81">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电动</w:t>
            </w:r>
          </w:p>
        </w:tc>
      </w:tr>
      <w:tr w14:paraId="474E1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579F0631">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小车行程</w:t>
            </w:r>
          </w:p>
        </w:tc>
        <w:tc>
          <w:tcPr>
            <w:tcW w:w="0" w:type="auto"/>
            <w:shd w:val="clear" w:color="auto" w:fill="auto"/>
            <w:vAlign w:val="center"/>
          </w:tcPr>
          <w:p w14:paraId="69C4A1C0">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单端 4 米</w:t>
            </w:r>
          </w:p>
        </w:tc>
      </w:tr>
      <w:tr w14:paraId="6F831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41D465D7">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总功率</w:t>
            </w:r>
          </w:p>
        </w:tc>
        <w:tc>
          <w:tcPr>
            <w:tcW w:w="0" w:type="auto"/>
            <w:shd w:val="clear" w:color="auto" w:fill="auto"/>
            <w:vAlign w:val="center"/>
          </w:tcPr>
          <w:p w14:paraId="4F317527">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投标厂家提供</w:t>
            </w:r>
          </w:p>
        </w:tc>
      </w:tr>
      <w:tr w14:paraId="40D24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auto"/>
            <w:vAlign w:val="center"/>
          </w:tcPr>
          <w:p w14:paraId="16DFBD04">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设备颜色</w:t>
            </w:r>
          </w:p>
        </w:tc>
        <w:tc>
          <w:tcPr>
            <w:tcW w:w="0" w:type="auto"/>
            <w:shd w:val="clear" w:color="auto" w:fill="auto"/>
            <w:vAlign w:val="center"/>
          </w:tcPr>
          <w:p w14:paraId="3758CF29">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技术联络会确定</w:t>
            </w:r>
          </w:p>
        </w:tc>
      </w:tr>
      <w:tr w14:paraId="32CD1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68AD33C6">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其他未列明参数</w:t>
            </w:r>
          </w:p>
        </w:tc>
        <w:tc>
          <w:tcPr>
            <w:tcW w:w="0" w:type="auto"/>
            <w:shd w:val="clear" w:color="auto" w:fill="auto"/>
            <w:vAlign w:val="center"/>
          </w:tcPr>
          <w:p w14:paraId="47B4047A">
            <w:pPr>
              <w:keepNext w:val="0"/>
              <w:keepLines w:val="0"/>
              <w:widowControl/>
              <w:suppressLineNumbers w:val="0"/>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投标厂家补充提供</w:t>
            </w:r>
          </w:p>
        </w:tc>
      </w:tr>
    </w:tbl>
    <w:p w14:paraId="25506D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（四）液压系统专项要求</w:t>
      </w:r>
    </w:p>
    <w:p w14:paraId="1A4138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液压系统可根据产品参数要求精准施压，并通过压力传感器实现恒压保持功能，满足变压器线圈压紧工艺的压力稳定性要求，确保压紧效果达标。</w:t>
      </w:r>
    </w:p>
    <w:p w14:paraId="65B014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（五）电控系统专项要求</w:t>
      </w:r>
    </w:p>
    <w:p w14:paraId="4E8F804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操作系统采用触摸屏参数输入模式，可便捷输入压缩尺寸、额定压力、保压时间等核心工艺参数，设备可实现</w:t>
      </w:r>
      <w:r>
        <w:rPr>
          <w:rStyle w:val="7"/>
          <w:b/>
          <w:bCs/>
          <w:color w:val="000000"/>
          <w:sz w:val="24"/>
          <w:szCs w:val="24"/>
        </w:rPr>
        <w:t>压制、定尺寸、保压至成品</w:t>
      </w:r>
      <w:r>
        <w:rPr>
          <w:color w:val="000000"/>
          <w:sz w:val="24"/>
          <w:szCs w:val="24"/>
        </w:rPr>
        <w:t>的全过程自动化运行，无需人工全程干预。</w:t>
      </w:r>
    </w:p>
    <w:p w14:paraId="4F6DA54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操作系统需具备压床工作过程实时监控功能，可清晰展示当前作业阶段、压力数值、运行时长等进度信息；触摸屏系统需自带设备故障报警模块，明确显示故障代码、故障信息及故障原因分析，便于维修人员快速定位并检修。</w:t>
      </w:r>
    </w:p>
    <w:p w14:paraId="2C2BA74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核心元器件品牌硬性要求：PLC、触摸屏、电液伺服系统、主要液压元件均采用</w:t>
      </w:r>
      <w:r>
        <w:rPr>
          <w:rStyle w:val="7"/>
          <w:b/>
          <w:bCs/>
          <w:color w:val="000000"/>
          <w:sz w:val="24"/>
          <w:szCs w:val="24"/>
        </w:rPr>
        <w:t>一线品牌</w:t>
      </w:r>
      <w:r>
        <w:rPr>
          <w:color w:val="000000"/>
          <w:sz w:val="24"/>
          <w:szCs w:val="24"/>
        </w:rPr>
        <w:t>产品；低压电器统一采用</w:t>
      </w:r>
      <w:r>
        <w:rPr>
          <w:rStyle w:val="7"/>
          <w:b/>
          <w:bCs/>
          <w:color w:val="000000"/>
          <w:sz w:val="24"/>
          <w:szCs w:val="24"/>
        </w:rPr>
        <w:t>施耐德品牌</w:t>
      </w:r>
      <w:r>
        <w:rPr>
          <w:color w:val="000000"/>
          <w:sz w:val="24"/>
          <w:szCs w:val="24"/>
        </w:rPr>
        <w:t>产品，确保设备运行稳定性。</w:t>
      </w:r>
    </w:p>
    <w:p w14:paraId="2A2B4A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二、功能及程序专项要求</w:t>
      </w:r>
    </w:p>
    <w:p w14:paraId="3F4F148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故障记录功能：设备可自动保存</w:t>
      </w:r>
      <w:r>
        <w:rPr>
          <w:rStyle w:val="7"/>
          <w:b/>
          <w:bCs/>
          <w:color w:val="000000"/>
          <w:sz w:val="24"/>
          <w:szCs w:val="24"/>
        </w:rPr>
        <w:t>15 日内</w:t>
      </w:r>
      <w:r>
        <w:rPr>
          <w:color w:val="000000"/>
          <w:sz w:val="24"/>
          <w:szCs w:val="24"/>
        </w:rPr>
        <w:t>的设备故障历史记录，记录信息需包含故障发生时间、故障类型、故障位置、故障解除方式等关键内容，支持历史记录查询、导出。</w:t>
      </w:r>
    </w:p>
    <w:p w14:paraId="7493E589">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运行统计功能：具备设备历史运行时间自动记录功能，可按日、月、年统计设备累计运行时长、单次作业时长，便于设备运维管理。</w:t>
      </w:r>
    </w:p>
    <w:p w14:paraId="0A226006">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工艺管理功能：具备工艺参数调入、存储及快速调用功能，支持多套变压器线圈压紧工艺参数独立命名、保存，满足不同规格产品生产需求。</w:t>
      </w:r>
    </w:p>
    <w:p w14:paraId="22F51E0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程序开放要求：供方需提供设备所有二次开发的程序代码，设备数据库完全开放，</w:t>
      </w:r>
      <w:r>
        <w:rPr>
          <w:rStyle w:val="7"/>
          <w:b/>
          <w:bCs/>
          <w:color w:val="000000"/>
          <w:sz w:val="24"/>
          <w:szCs w:val="24"/>
        </w:rPr>
        <w:t>PLC 禁止设置任何密码</w:t>
      </w:r>
      <w:r>
        <w:rPr>
          <w:color w:val="000000"/>
          <w:sz w:val="24"/>
          <w:szCs w:val="24"/>
        </w:rPr>
        <w:t>，全力配合需方后期工艺调整、设备升级及自主维护工作。</w:t>
      </w:r>
    </w:p>
    <w:p w14:paraId="288F7322">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配件资料要求：设备供应商需提供整机所有配件的详细清单，清单需包含配件名称、规格型号、单台使用数量、生产单位及官方联系方式，清单需加盖厂家公章。</w:t>
      </w:r>
    </w:p>
    <w:p w14:paraId="255B12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三、随机工具、附件和备品备件</w:t>
      </w:r>
    </w:p>
    <w:p w14:paraId="788900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由投标厂家按设备原厂配置标准、行业通用维保需求及本设备实际使用场景，列明配套的随机工具、安装附件、备品备件的</w:t>
      </w:r>
      <w:r>
        <w:rPr>
          <w:rStyle w:val="7"/>
          <w:rFonts w:ascii="宋体" w:hAnsi="宋体" w:eastAsia="宋体" w:cs="宋体"/>
          <w:b/>
          <w:bCs/>
          <w:color w:val="000000"/>
          <w:kern w:val="0"/>
          <w:sz w:val="24"/>
          <w:szCs w:val="24"/>
          <w:lang w:val="en-US" w:eastAsia="zh-CN" w:bidi="ar"/>
        </w:rPr>
        <w:t>名称、规格型号、数量、材质 / 品牌</w:t>
      </w:r>
      <w:r>
        <w:rPr>
          <w:rFonts w:ascii="宋体" w:hAnsi="宋体" w:eastAsia="宋体" w:cs="宋体"/>
          <w:color w:val="000000"/>
          <w:kern w:val="0"/>
          <w:sz w:val="24"/>
          <w:szCs w:val="24"/>
          <w:lang w:val="en-US" w:eastAsia="zh-CN" w:bidi="ar"/>
        </w:rPr>
        <w:t>，作为投标响应必备内容，需单独成册随投标文件提交。</w:t>
      </w:r>
    </w:p>
    <w:p w14:paraId="3164EE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四、技术文件交付要求</w:t>
      </w:r>
    </w:p>
    <w:p w14:paraId="70AABA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（一）交付时间</w:t>
      </w:r>
    </w:p>
    <w:p w14:paraId="7C6CB6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合同签订后</w:t>
      </w:r>
      <w:r>
        <w:rPr>
          <w:rStyle w:val="7"/>
          <w:rFonts w:ascii="宋体" w:hAnsi="宋体" w:eastAsia="宋体" w:cs="宋体"/>
          <w:b/>
          <w:bCs/>
          <w:color w:val="000000"/>
          <w:kern w:val="0"/>
          <w:sz w:val="24"/>
          <w:szCs w:val="24"/>
          <w:lang w:val="en-US" w:eastAsia="zh-CN" w:bidi="ar"/>
        </w:rPr>
        <w:t>10 日内</w:t>
      </w:r>
      <w:r>
        <w:rPr>
          <w:rFonts w:ascii="宋体" w:hAnsi="宋体" w:eastAsia="宋体" w:cs="宋体"/>
          <w:color w:val="000000"/>
          <w:kern w:val="0"/>
          <w:sz w:val="24"/>
          <w:szCs w:val="24"/>
          <w:lang w:val="en-US" w:eastAsia="zh-CN" w:bidi="ar"/>
        </w:rPr>
        <w:t>，供方需向需方提供设备基础施工图纸（纸质版 + 电子版），确保需方有充足时间进行基础施工。</w:t>
      </w:r>
    </w:p>
    <w:p w14:paraId="660D85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（二）交付清单及要求</w:t>
      </w:r>
    </w:p>
    <w:p w14:paraId="58FB2D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所有技术文件均提供</w:t>
      </w:r>
      <w:r>
        <w:rPr>
          <w:rStyle w:val="7"/>
          <w:rFonts w:ascii="宋体" w:hAnsi="宋体" w:eastAsia="宋体" w:cs="宋体"/>
          <w:b/>
          <w:bCs/>
          <w:color w:val="000000"/>
          <w:kern w:val="0"/>
          <w:sz w:val="24"/>
          <w:szCs w:val="24"/>
          <w:lang w:val="en-US" w:eastAsia="zh-CN" w:bidi="ar"/>
        </w:rPr>
        <w:t>纸质版 3 份（加盖厂家公章）+ 电子版 1 份（U 盘 / 可编辑格式）</w:t>
      </w:r>
      <w:r>
        <w:rPr>
          <w:rFonts w:ascii="宋体" w:hAnsi="宋体" w:eastAsia="宋体" w:cs="宋体"/>
          <w:color w:val="000000"/>
          <w:kern w:val="0"/>
          <w:sz w:val="24"/>
          <w:szCs w:val="24"/>
          <w:lang w:val="en-US" w:eastAsia="zh-CN" w:bidi="ar"/>
        </w:rPr>
        <w:t>，具体清单如下：</w:t>
      </w:r>
    </w:p>
    <w:p w14:paraId="7782B75B">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设备基础资料：装箱单、产品合格证、产品质量证明书；</w:t>
      </w:r>
    </w:p>
    <w:p w14:paraId="71DDAF53">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设备图纸资料：电气原理图、电气接线图、设备平面布置图、设备结构总图；</w:t>
      </w:r>
    </w:p>
    <w:p w14:paraId="186D945B">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设备使用资料：设备使用说明书、标准化操作流程、日常保养规范、设备使用注意事项、常见故障排查手册；</w:t>
      </w:r>
    </w:p>
    <w:p w14:paraId="452811D4">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外购件资料：提供设备所有外购元器件的</w:t>
      </w:r>
      <w:r>
        <w:rPr>
          <w:rStyle w:val="7"/>
          <w:b/>
          <w:bCs/>
          <w:color w:val="000000"/>
          <w:sz w:val="24"/>
          <w:szCs w:val="24"/>
        </w:rPr>
        <w:t>原厂合格证</w:t>
      </w:r>
      <w:r>
        <w:rPr>
          <w:color w:val="000000"/>
          <w:sz w:val="24"/>
          <w:szCs w:val="24"/>
        </w:rPr>
        <w:t>，及外购件对应的电气原理图、接线图、使用说明书、保养规范等文件原件。</w:t>
      </w:r>
    </w:p>
    <w:p w14:paraId="4D6B5F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五、交货、验收和检测</w:t>
      </w:r>
    </w:p>
    <w:p w14:paraId="0E4658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（一）检验标准</w:t>
      </w:r>
    </w:p>
    <w:p w14:paraId="560569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本招标技术文件明确的所有要求 + 国家及行业相关设备制造、安装、验收标准。</w:t>
      </w:r>
    </w:p>
    <w:p w14:paraId="67915F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（二）出厂验收</w:t>
      </w:r>
    </w:p>
    <w:p w14:paraId="36F404F8">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设备在供方生产现场完成全部制造、装配及调试后，供方提前 3 个工作日通知需方到场验收；</w:t>
      </w:r>
    </w:p>
    <w:p w14:paraId="0BE3B8C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供需双方按本技术文件要求共同进行出厂验收，逐项核对参数、检测性能，验收合格后双方签署《出厂验收单》，供方凭验收单安排设备发货；验收不合格的，供方需在约定时间内整改完成并重新验收。</w:t>
      </w:r>
    </w:p>
    <w:p w14:paraId="22A895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（三）现场终验收</w:t>
      </w:r>
    </w:p>
    <w:p w14:paraId="5F117243">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设备运至需方现场并完成安装、调试后，供方通知需方进行现场终验收，验收时间由双方协商确定；</w:t>
      </w:r>
    </w:p>
    <w:p w14:paraId="6F391590">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供需双方严格按《采购合同》及本招标技术文件</w:t>
      </w:r>
      <w:r>
        <w:rPr>
          <w:rStyle w:val="7"/>
          <w:b/>
          <w:bCs/>
          <w:color w:val="000000"/>
          <w:sz w:val="24"/>
          <w:szCs w:val="24"/>
        </w:rPr>
        <w:t>逐条逐项</w:t>
      </w:r>
      <w:r>
        <w:rPr>
          <w:color w:val="000000"/>
          <w:sz w:val="24"/>
          <w:szCs w:val="24"/>
        </w:rPr>
        <w:t>进行全性能检测验收，验收合格后双方签署《设备终验收报告》，验收未通过的，供方需限期整改，直至满足所有要求；</w:t>
      </w:r>
    </w:p>
    <w:p w14:paraId="1ACCDADB">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现场终验收核心内容包含：（1）所有技术性能参数的现场实测验证，确保符合要求；（2）液压系统、电控系统、小车驱动系统等各系统独立运行及联动运行检测，确保运行稳定、无故障；（3）设备实物配置、元器件品牌与技术文件规范的一致性核查；（4）备品备件、随机工具的数量、规格型号核对；（5）技术文件、外购件资料的完整性、规范性核查。</w:t>
      </w:r>
    </w:p>
    <w:p w14:paraId="444923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六、技术培训</w:t>
      </w:r>
    </w:p>
    <w:p w14:paraId="48B7DD9D">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培训方式：制造商安排专业技术人员</w:t>
      </w:r>
      <w:r>
        <w:rPr>
          <w:rStyle w:val="7"/>
          <w:b/>
          <w:bCs/>
          <w:color w:val="000000"/>
          <w:sz w:val="24"/>
          <w:szCs w:val="24"/>
        </w:rPr>
        <w:t>免费</w:t>
      </w:r>
      <w:r>
        <w:rPr>
          <w:color w:val="000000"/>
          <w:sz w:val="24"/>
          <w:szCs w:val="24"/>
        </w:rPr>
        <w:t>到需方现场开展技术培训，需方配合提供培训场地、操作工位及参训人员。</w:t>
      </w:r>
    </w:p>
    <w:p w14:paraId="08A911A9">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培训对象：设备实际操作人员、机修维修人员、电气维修人员（参训人员数量由需方确定）。</w:t>
      </w:r>
    </w:p>
    <w:p w14:paraId="77FCDC08">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培训内容：（1）对操作人员：开展设备基本结构认知、工艺参数设置、标准化操作、日常基础保养、简单故障识别等培训，确保参训人员能独立、熟练操作设备；（2）对机修 / 电气维修人员：开展设备核心部件结构、系统工作原理、常见故障排查、零部件更换、系统维护校准等专业培训，确保能处理设备常规故障。</w:t>
      </w:r>
    </w:p>
    <w:p w14:paraId="68E0FD3E">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培训要求：培训在设备现场终验收阶段同步开展，培训时长按需方人员掌握程度灵活调整，直至所有参训人员达到独立操作、独立维护的能力要求，培训完成后签署《培训验收单》。</w:t>
      </w:r>
    </w:p>
    <w:p w14:paraId="020327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七、质量保证与售后服务</w:t>
      </w:r>
    </w:p>
    <w:p w14:paraId="3159B64D">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质保期限：设备自</w:t>
      </w:r>
      <w:r>
        <w:rPr>
          <w:rStyle w:val="7"/>
          <w:b/>
          <w:bCs/>
          <w:color w:val="000000"/>
          <w:sz w:val="24"/>
          <w:szCs w:val="24"/>
        </w:rPr>
        <w:t>终验收合格之日起</w:t>
      </w:r>
      <w:r>
        <w:rPr>
          <w:color w:val="000000"/>
          <w:sz w:val="24"/>
          <w:szCs w:val="24"/>
        </w:rPr>
        <w:t>，整机质保期为</w:t>
      </w:r>
      <w:r>
        <w:rPr>
          <w:rStyle w:val="7"/>
          <w:b/>
          <w:bCs/>
          <w:color w:val="000000"/>
          <w:sz w:val="24"/>
          <w:szCs w:val="24"/>
        </w:rPr>
        <w:t>36 个月</w:t>
      </w:r>
      <w:r>
        <w:rPr>
          <w:color w:val="000000"/>
          <w:sz w:val="24"/>
          <w:szCs w:val="24"/>
        </w:rPr>
        <w:t>；质保期内，因设备自身质量问题或需方严格按供方提供的操作流程规范操作导致的设备故障，供方</w:t>
      </w:r>
      <w:r>
        <w:rPr>
          <w:rStyle w:val="7"/>
          <w:b/>
          <w:bCs/>
          <w:color w:val="000000"/>
          <w:sz w:val="24"/>
          <w:szCs w:val="24"/>
        </w:rPr>
        <w:t>免费</w:t>
      </w:r>
      <w:r>
        <w:rPr>
          <w:color w:val="000000"/>
          <w:sz w:val="24"/>
          <w:szCs w:val="24"/>
        </w:rPr>
        <w:t>提供维修配件并安排专业人员上门维修，需方不承担任何配件费、维修费、上门费等费用。</w:t>
      </w:r>
    </w:p>
    <w:p w14:paraId="662D7CE0">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现场服务响应：设备出现故障后，需方及时通知供方，供方需在 1 小时内响应；需现场处理的故障，供方需在</w:t>
      </w:r>
      <w:r>
        <w:rPr>
          <w:rStyle w:val="7"/>
          <w:b/>
          <w:bCs/>
          <w:color w:val="000000"/>
          <w:sz w:val="24"/>
          <w:szCs w:val="24"/>
        </w:rPr>
        <w:t>48 小时内</w:t>
      </w:r>
      <w:r>
        <w:rPr>
          <w:color w:val="000000"/>
          <w:sz w:val="24"/>
          <w:szCs w:val="24"/>
        </w:rPr>
        <w:t>派专业技术人员抵达需方现场；可通过电话、视频等远程方式解决的故障，供方需第一时间提供详细技术指导，直至故障解除。</w:t>
      </w:r>
    </w:p>
    <w:p w14:paraId="5FB51626">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终身服务承诺：供方对本设备实行</w:t>
      </w:r>
      <w:r>
        <w:rPr>
          <w:rStyle w:val="7"/>
          <w:b/>
          <w:bCs/>
          <w:color w:val="000000"/>
          <w:sz w:val="24"/>
          <w:szCs w:val="24"/>
        </w:rPr>
        <w:t>终身技术服务</w:t>
      </w:r>
      <w:r>
        <w:rPr>
          <w:color w:val="000000"/>
          <w:sz w:val="24"/>
          <w:szCs w:val="24"/>
        </w:rPr>
        <w:t>；质保期结束后，供方以</w:t>
      </w:r>
      <w:r>
        <w:rPr>
          <w:rStyle w:val="7"/>
          <w:b/>
          <w:bCs/>
          <w:color w:val="000000"/>
          <w:sz w:val="24"/>
          <w:szCs w:val="24"/>
        </w:rPr>
        <w:t>优惠价格</w:t>
      </w:r>
      <w:r>
        <w:rPr>
          <w:color w:val="000000"/>
          <w:sz w:val="24"/>
          <w:szCs w:val="24"/>
        </w:rPr>
        <w:t>为需方提供原厂备品备件、维修服务及技术支持，且不设置任何服务壁垒。</w:t>
      </w:r>
    </w:p>
    <w:p w14:paraId="14A2AE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八、安装和调试</w:t>
      </w:r>
    </w:p>
    <w:p w14:paraId="160267A3">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设备就位：由</w:t>
      </w:r>
      <w:r>
        <w:rPr>
          <w:rStyle w:val="7"/>
          <w:b/>
          <w:bCs/>
          <w:color w:val="000000"/>
          <w:sz w:val="24"/>
          <w:szCs w:val="24"/>
        </w:rPr>
        <w:t>卖方（供方）</w:t>
      </w:r>
      <w:r>
        <w:rPr>
          <w:color w:val="000000"/>
          <w:sz w:val="24"/>
          <w:szCs w:val="24"/>
        </w:rPr>
        <w:t xml:space="preserve"> 全权负责设备的现场就位工作，包括设备卸车、吊装、定位，买方（需方）配合提供场地、吊装设备、电力接驳等基础协助工作。</w:t>
      </w:r>
    </w:p>
    <w:p w14:paraId="1D1CFE5A">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安装调试：由</w:t>
      </w:r>
      <w:r>
        <w:rPr>
          <w:rStyle w:val="7"/>
          <w:b/>
          <w:bCs/>
          <w:color w:val="000000"/>
          <w:sz w:val="24"/>
          <w:szCs w:val="24"/>
        </w:rPr>
        <w:t>卖方（供方）</w:t>
      </w:r>
      <w:r>
        <w:rPr>
          <w:color w:val="000000"/>
          <w:sz w:val="24"/>
          <w:szCs w:val="24"/>
        </w:rPr>
        <w:t xml:space="preserve"> 派遣专业工程技术人员到需方现场，完成设备的整体安装、管路连接、电路接线、系统调试等全部工作；买方（需方）配合提供水电、场地等必要条件；供方需确保设备调试后达到正常运行及本技术文件约定的验收标准。</w:t>
      </w:r>
    </w:p>
    <w:p w14:paraId="1FF6E0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九、需招标方（需方）提供的配合条件</w:t>
      </w:r>
    </w:p>
    <w:p w14:paraId="2E3BFB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由投标厂家结合本设备的安装、调试、运行及维保的实际需求，详细列明需招标方（需方）提供的场地、水电、吊装、人员等配合条件，作为投标响应必备内容，需单独列明并明确具体要求。</w:t>
      </w:r>
    </w:p>
    <w:p w14:paraId="23AA5C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EC6C7"/>
    <w:multiLevelType w:val="multilevel"/>
    <w:tmpl w:val="9F6EC6C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0D7ACA8"/>
    <w:multiLevelType w:val="multilevel"/>
    <w:tmpl w:val="C0D7ACA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E6A5CF5F"/>
    <w:multiLevelType w:val="multilevel"/>
    <w:tmpl w:val="E6A5CF5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173F6DC7"/>
    <w:multiLevelType w:val="multilevel"/>
    <w:tmpl w:val="173F6DC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1E72FD65"/>
    <w:multiLevelType w:val="multilevel"/>
    <w:tmpl w:val="1E72FD6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4FABC253"/>
    <w:multiLevelType w:val="multilevel"/>
    <w:tmpl w:val="4FABC25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7A36CE95"/>
    <w:multiLevelType w:val="multilevel"/>
    <w:tmpl w:val="7A36CE9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7A75771D"/>
    <w:multiLevelType w:val="multilevel"/>
    <w:tmpl w:val="7A75771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6"/>
  </w:num>
  <w:num w:numId="2">
    <w:abstractNumId w:val="1"/>
  </w:num>
  <w:num w:numId="3">
    <w:abstractNumId w:val="0"/>
  </w:num>
  <w:num w:numId="4">
    <w:abstractNumId w:val="2"/>
  </w:num>
  <w:num w:numId="5">
    <w:abstractNumId w:val="5"/>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963B29"/>
    <w:rsid w:val="4CFA6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2681</Words>
  <Characters>2737</Characters>
  <Lines>0</Lines>
  <Paragraphs>0</Paragraphs>
  <TotalTime>2</TotalTime>
  <ScaleCrop>false</ScaleCrop>
  <LinksUpToDate>false</LinksUpToDate>
  <CharactersWithSpaces>2771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2026-03-19T05:56:00Z</dcterms:created>
  <dc:creator>Administrator</dc:creator>
  <cp:lastModifiedBy>WPS_1722557637</cp:lastModifiedBy>
  <dcterms:modified xsi:type="dcterms:W3CDTF">2026-03-19T06:31:32Z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eyJoZGlkIjoiNTY2ZmE0Yjk4YTA5ODAzNWI1NzgyMTYwYjllY2EwMzYiLCJ1c2VySWQiOiIxNjE5NzYxNTM3In0=</vt:lpwstr>
  </property>
  <property fmtid="{D5CDD505-2E9C-101B-9397-08002B2CF9AE}" pid="4" name="ICV">
    <vt:lpwstr>5C00550E78DB4626B6B03C1F434C3F97_12</vt:lpwstr>
  </property>
</Properties>
</file>